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88E" w:rsidRPr="009A6579" w:rsidRDefault="0053588E" w:rsidP="00DE798D">
      <w:pPr>
        <w:spacing w:line="240" w:lineRule="exact"/>
        <w:rPr>
          <w:rFonts w:ascii="微软雅黑" w:eastAsia="微软雅黑" w:hAnsi="微软雅黑" w:cs="仿宋_GB2312" w:hint="eastAsia"/>
          <w:sz w:val="22"/>
          <w:szCs w:val="22"/>
        </w:rPr>
      </w:pPr>
    </w:p>
    <w:p w:rsidR="002525CE" w:rsidRPr="009A6579" w:rsidRDefault="009F0DE5" w:rsidP="00DE798D">
      <w:pPr>
        <w:spacing w:line="600" w:lineRule="exact"/>
        <w:jc w:val="center"/>
        <w:rPr>
          <w:rFonts w:ascii="微软雅黑" w:eastAsia="微软雅黑" w:hAnsi="微软雅黑" w:cs="仿宋_GB2312"/>
          <w:b/>
          <w:color w:val="7030A0"/>
          <w:sz w:val="40"/>
          <w:szCs w:val="40"/>
        </w:rPr>
      </w:pPr>
      <w:r w:rsidRPr="009A6579">
        <w:rPr>
          <w:rFonts w:ascii="微软雅黑" w:eastAsia="微软雅黑" w:hAnsi="微软雅黑" w:cs="仿宋_GB2312" w:hint="eastAsia"/>
          <w:b/>
          <w:color w:val="7030A0"/>
          <w:sz w:val="40"/>
          <w:szCs w:val="40"/>
        </w:rPr>
        <w:t>最高人民法院　最高人民检察院</w:t>
      </w:r>
    </w:p>
    <w:p w:rsidR="002525CE" w:rsidRPr="009A6579" w:rsidRDefault="009F0DE5" w:rsidP="00DE798D">
      <w:pPr>
        <w:spacing w:line="600" w:lineRule="exact"/>
        <w:jc w:val="center"/>
        <w:rPr>
          <w:rFonts w:ascii="微软雅黑" w:eastAsia="微软雅黑" w:hAnsi="微软雅黑" w:cs="仿宋_GB2312"/>
          <w:b/>
          <w:color w:val="7030A0"/>
          <w:sz w:val="40"/>
          <w:szCs w:val="40"/>
        </w:rPr>
      </w:pPr>
      <w:r w:rsidRPr="009A6579">
        <w:rPr>
          <w:rFonts w:ascii="微软雅黑" w:eastAsia="微软雅黑" w:hAnsi="微软雅黑" w:cs="仿宋_GB2312" w:hint="eastAsia"/>
          <w:b/>
          <w:color w:val="7030A0"/>
          <w:sz w:val="40"/>
          <w:szCs w:val="40"/>
        </w:rPr>
        <w:t>关于办理强奸、猥亵未成年人刑事案件</w:t>
      </w:r>
    </w:p>
    <w:p w:rsidR="002525CE" w:rsidRPr="009A6579" w:rsidRDefault="009F0DE5" w:rsidP="00DE798D">
      <w:pPr>
        <w:spacing w:line="600" w:lineRule="exact"/>
        <w:jc w:val="center"/>
        <w:rPr>
          <w:rFonts w:ascii="微软雅黑" w:eastAsia="微软雅黑" w:hAnsi="微软雅黑" w:cs="仿宋_GB2312"/>
          <w:b/>
          <w:color w:val="7030A0"/>
          <w:sz w:val="40"/>
          <w:szCs w:val="40"/>
        </w:rPr>
      </w:pPr>
      <w:r w:rsidRPr="009A6579">
        <w:rPr>
          <w:rFonts w:ascii="微软雅黑" w:eastAsia="微软雅黑" w:hAnsi="微软雅黑" w:cs="仿宋_GB2312" w:hint="eastAsia"/>
          <w:b/>
          <w:color w:val="7030A0"/>
          <w:sz w:val="40"/>
          <w:szCs w:val="40"/>
        </w:rPr>
        <w:t>适用法律若干问题的解释</w:t>
      </w:r>
      <w:bookmarkStart w:id="0" w:name="_GoBack"/>
      <w:bookmarkEnd w:id="0"/>
    </w:p>
    <w:p w:rsidR="002525CE" w:rsidRDefault="002525CE" w:rsidP="00DE798D">
      <w:pPr>
        <w:spacing w:line="240" w:lineRule="exact"/>
        <w:jc w:val="center"/>
        <w:rPr>
          <w:rFonts w:ascii="微软雅黑" w:eastAsia="微软雅黑" w:hAnsi="微软雅黑" w:cs="宋体"/>
          <w:sz w:val="22"/>
          <w:szCs w:val="22"/>
        </w:rPr>
      </w:pPr>
    </w:p>
    <w:p w:rsidR="00780293" w:rsidRDefault="00780293" w:rsidP="00DE798D">
      <w:pPr>
        <w:spacing w:line="240" w:lineRule="exact"/>
        <w:jc w:val="center"/>
        <w:rPr>
          <w:rFonts w:ascii="微软雅黑" w:eastAsia="微软雅黑" w:hAnsi="微软雅黑" w:cs="宋体"/>
          <w:sz w:val="22"/>
          <w:szCs w:val="22"/>
        </w:rPr>
      </w:pPr>
      <w:r>
        <w:rPr>
          <w:rFonts w:ascii="微软雅黑" w:eastAsia="微软雅黑" w:hAnsi="微软雅黑" w:cs="宋体" w:hint="eastAsia"/>
          <w:sz w:val="22"/>
          <w:szCs w:val="22"/>
        </w:rPr>
        <w:t>2</w:t>
      </w:r>
      <w:r>
        <w:rPr>
          <w:rFonts w:ascii="微软雅黑" w:eastAsia="微软雅黑" w:hAnsi="微软雅黑" w:cs="宋体"/>
          <w:sz w:val="22"/>
          <w:szCs w:val="22"/>
        </w:rPr>
        <w:t>023-06-01</w:t>
      </w:r>
    </w:p>
    <w:p w:rsidR="00780293" w:rsidRPr="009A6579" w:rsidRDefault="00780293" w:rsidP="00DE798D">
      <w:pPr>
        <w:spacing w:line="240" w:lineRule="exact"/>
        <w:jc w:val="center"/>
        <w:rPr>
          <w:rFonts w:ascii="微软雅黑" w:eastAsia="微软雅黑" w:hAnsi="微软雅黑" w:cs="宋体"/>
          <w:sz w:val="22"/>
          <w:szCs w:val="22"/>
        </w:rPr>
      </w:pPr>
    </w:p>
    <w:p w:rsidR="002525CE" w:rsidRPr="009A6579" w:rsidRDefault="009F0DE5" w:rsidP="00DE798D">
      <w:pPr>
        <w:spacing w:line="240" w:lineRule="exact"/>
        <w:jc w:val="center"/>
        <w:rPr>
          <w:rFonts w:ascii="微软雅黑" w:eastAsia="微软雅黑" w:hAnsi="微软雅黑"/>
          <w:sz w:val="22"/>
          <w:szCs w:val="22"/>
        </w:rPr>
      </w:pPr>
      <w:r w:rsidRPr="009A6579">
        <w:rPr>
          <w:rFonts w:ascii="微软雅黑" w:eastAsia="微软雅黑" w:hAnsi="微软雅黑"/>
          <w:sz w:val="22"/>
          <w:szCs w:val="22"/>
        </w:rPr>
        <w:t>法释〔2023〕3号</w:t>
      </w:r>
    </w:p>
    <w:p w:rsidR="002525CE" w:rsidRPr="009A6579" w:rsidRDefault="002525CE" w:rsidP="00DE798D">
      <w:pPr>
        <w:spacing w:line="240" w:lineRule="exact"/>
        <w:jc w:val="center"/>
        <w:rPr>
          <w:rFonts w:ascii="微软雅黑" w:eastAsia="微软雅黑" w:hAnsi="微软雅黑" w:cs="宋体"/>
          <w:sz w:val="22"/>
          <w:szCs w:val="22"/>
        </w:rPr>
      </w:pPr>
    </w:p>
    <w:p w:rsidR="002525CE" w:rsidRPr="0053588E" w:rsidRDefault="009F0DE5" w:rsidP="0053588E">
      <w:pPr>
        <w:spacing w:line="360" w:lineRule="exact"/>
        <w:ind w:leftChars="200" w:left="632" w:rightChars="200" w:right="632" w:firstLineChars="200" w:firstLine="412"/>
        <w:rPr>
          <w:rFonts w:ascii="微软雅黑" w:eastAsia="微软雅黑" w:hAnsi="微软雅黑"/>
          <w:sz w:val="21"/>
          <w:szCs w:val="21"/>
        </w:rPr>
      </w:pPr>
      <w:r w:rsidRPr="0053588E">
        <w:rPr>
          <w:rFonts w:ascii="微软雅黑" w:eastAsia="微软雅黑" w:hAnsi="微软雅黑"/>
          <w:sz w:val="21"/>
          <w:szCs w:val="21"/>
        </w:rPr>
        <w:t>（2023年1月3日最高人民法院审判委员会第1878次会议、2023年3月2日最高人民检察院第十三届检察委员会第一百一十四次会议通过，自2023年6月1日起施行）</w:t>
      </w:r>
    </w:p>
    <w:p w:rsidR="002525CE" w:rsidRPr="0053588E" w:rsidRDefault="002525CE" w:rsidP="0053588E">
      <w:pPr>
        <w:spacing w:line="340" w:lineRule="exact"/>
        <w:rPr>
          <w:rFonts w:ascii="微软雅黑" w:eastAsia="微软雅黑" w:hAnsi="微软雅黑" w:cs="宋体"/>
          <w:sz w:val="24"/>
        </w:rPr>
      </w:pP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为依法惩处强奸、猥亵未成年人犯罪，保护未成年人合法权益，根据《中华人民共和国刑法》等法律规定，现就办理此类刑事案件适用法律的若干问题解释如下：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b/>
          <w:sz w:val="24"/>
        </w:rPr>
        <w:t>第一条</w:t>
      </w:r>
      <w:r w:rsidRPr="0053588E">
        <w:rPr>
          <w:rFonts w:ascii="微软雅黑" w:eastAsia="微软雅黑" w:hAnsi="微软雅黑" w:cs="宋体" w:hint="eastAsia"/>
          <w:sz w:val="24"/>
        </w:rPr>
        <w:t xml:space="preserve">　奸淫幼女的，依照刑法第二百三十六条第二款的规定从重处罚。具有下列情形之一的，应当适用较重的从重处罚幅度：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（一）负有特殊职责的人员实施奸淫的；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（二）采用暴力、胁迫等手段实施奸淫的；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（三）侵入住宅或者学生集体宿舍实施奸淫的；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（四）对农村留守女童、严重残疾或者精神发育迟滞的被害人实施奸淫的；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（五）利用其他未成年人诱骗、介绍、胁迫被害人的；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（六）曾因强奸、猥亵犯罪被判处刑罚的。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强奸已满十四周岁的未成年女性，具有前款第一项、第三项至第六项规定的情形之一，或者致使被害人轻伤、患梅毒、淋病等严重性病的，依照刑法第二百三十六条第一款的规定定罪，从重处罚。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b/>
          <w:sz w:val="24"/>
        </w:rPr>
        <w:t>第二条</w:t>
      </w:r>
      <w:r w:rsidRPr="0053588E">
        <w:rPr>
          <w:rFonts w:ascii="微软雅黑" w:eastAsia="微软雅黑" w:hAnsi="微软雅黑" w:cs="宋体" w:hint="eastAsia"/>
          <w:sz w:val="24"/>
        </w:rPr>
        <w:t xml:space="preserve">　强奸已满十四周岁的未成年女性或者奸淫幼女，具有下列情形之一的，应当认定为刑法第二百三十六条第三款第一项规定的“强奸妇女、奸淫幼女情节恶劣”：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（一）负有特殊职责的人员多次实施强奸、奸淫的；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（二）有严重摧残、凌辱行为的；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（三）非法拘禁或者利用毒品诱骗、控制被害人的；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（四）多次利用其他未成年人诱骗、介绍、胁迫被害人的；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（五）长期实施强奸、奸淫的；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（六）奸淫精神发育迟滞的被害人致使怀孕的；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（七）对强奸、奸淫过程或者被害人身体隐私部位制作视频、照片等影像资料，以此胁迫对被害人实施强奸、奸淫，或者致使影像资料向多人传播，暴露被害人身份的；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（八）其他情节恶劣的情形。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b/>
          <w:sz w:val="24"/>
        </w:rPr>
        <w:t>第三条</w:t>
      </w:r>
      <w:r w:rsidRPr="0053588E">
        <w:rPr>
          <w:rFonts w:ascii="微软雅黑" w:eastAsia="微软雅黑" w:hAnsi="微软雅黑" w:cs="宋体" w:hint="eastAsia"/>
          <w:sz w:val="24"/>
        </w:rPr>
        <w:t xml:space="preserve">　奸淫幼女，具有下列情形之一的，应当认定为刑法第二百三十六条第三款第五项规定的“造成幼女伤害”：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（一）致使幼女轻伤的；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（二）致使幼女患梅毒、淋病等严重性病的；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（三）对幼女身心健康造成其他伤害的情形。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b/>
          <w:sz w:val="24"/>
        </w:rPr>
        <w:t>第四条</w:t>
      </w:r>
      <w:r w:rsidRPr="0053588E">
        <w:rPr>
          <w:rFonts w:ascii="微软雅黑" w:eastAsia="微软雅黑" w:hAnsi="微软雅黑" w:cs="宋体" w:hint="eastAsia"/>
          <w:sz w:val="24"/>
        </w:rPr>
        <w:t xml:space="preserve">　强奸已满十四周岁的未成年女性或者奸淫幼女，致使其感染艾滋病病毒的，应当认定为刑法第二百三十六第三款第六项规定的“致使被害人重伤”。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b/>
          <w:sz w:val="24"/>
        </w:rPr>
        <w:t>第五条</w:t>
      </w:r>
      <w:r w:rsidRPr="0053588E">
        <w:rPr>
          <w:rFonts w:ascii="微软雅黑" w:eastAsia="微软雅黑" w:hAnsi="微软雅黑" w:cs="宋体" w:hint="eastAsia"/>
          <w:sz w:val="24"/>
        </w:rPr>
        <w:t xml:space="preserve">　对已满十四周岁不满十六周岁的未成年女性负有特殊职责的人员，与该未成年女性发生性关系，具有下列情形之一的，应当认定为刑法第二百三十六条之一规定的“情节恶劣”：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lastRenderedPageBreak/>
        <w:t>（一）长期发生性关系的；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（二）与多名被害人发生性关系的；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（三）致使被害人感染艾滋病病毒或者患梅毒、淋病等严重性病的；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（四）对发生性关系的过程或者被害人身体隐私部位制作视频、照片等影像资料，致使影像资料向多人传播，暴露被害人身份的；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（五）其他情节恶劣的情形。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b/>
          <w:sz w:val="24"/>
        </w:rPr>
        <w:t>第六条</w:t>
      </w:r>
      <w:r w:rsidRPr="0053588E">
        <w:rPr>
          <w:rFonts w:ascii="微软雅黑" w:eastAsia="微软雅黑" w:hAnsi="微软雅黑" w:cs="宋体" w:hint="eastAsia"/>
          <w:sz w:val="24"/>
        </w:rPr>
        <w:t xml:space="preserve">　对已满十四周岁的未成年女性负有特殊职责的人员，利用优势地位或者被害人孤立无援的境地，迫使被害人与其发生性关系的，依照刑法第二百三十六条的规定，以强奸罪定罪处罚。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b/>
          <w:sz w:val="24"/>
        </w:rPr>
        <w:t>第七条</w:t>
      </w:r>
      <w:r w:rsidRPr="0053588E">
        <w:rPr>
          <w:rFonts w:ascii="微软雅黑" w:eastAsia="微软雅黑" w:hAnsi="微软雅黑" w:cs="宋体" w:hint="eastAsia"/>
          <w:sz w:val="24"/>
        </w:rPr>
        <w:t xml:space="preserve">　猥亵儿童，具有下列情形之一的，应当认定为刑法第二百三十七条第三款第三项规定的“造成儿童伤害或者其他严重后果”：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（一）致使儿童轻伤以上的；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（二）致使儿童自残、自杀的；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（三）对儿童身心健康造成其他伤害或者严重后果的情形。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b/>
          <w:sz w:val="24"/>
        </w:rPr>
        <w:t>第八条</w:t>
      </w:r>
      <w:r w:rsidRPr="0053588E">
        <w:rPr>
          <w:rFonts w:ascii="微软雅黑" w:eastAsia="微软雅黑" w:hAnsi="微软雅黑" w:cs="宋体" w:hint="eastAsia"/>
          <w:sz w:val="24"/>
        </w:rPr>
        <w:t xml:space="preserve">　猥亵儿童，具有下列情形之一的，应当认定为刑法第二百三十七条第三款第四项规定的“猥亵手段恶劣或者有其他恶劣情节”：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（一）以生殖器侵入肛门、口腔或者以生殖器以外的身体部位、物品侵入被害人生殖器、肛门等方式实施猥亵的；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（二）有严重摧残、凌辱行为的；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（三）对猥亵过程或者被害人身体隐私部位制作视频、照片等影像资料，以此胁迫对被害人实施猥亵，或者致使影像资料向多人传播，暴露被害人身份的；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（四）采取其他恶劣手段实施猥亵或者有其他恶劣情节的情形。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b/>
          <w:sz w:val="24"/>
        </w:rPr>
        <w:t>第九条</w:t>
      </w:r>
      <w:r w:rsidRPr="0053588E">
        <w:rPr>
          <w:rFonts w:ascii="微软雅黑" w:eastAsia="微软雅黑" w:hAnsi="微软雅黑" w:cs="宋体" w:hint="eastAsia"/>
          <w:sz w:val="24"/>
        </w:rPr>
        <w:t xml:space="preserve">　胁迫、诱骗未成年人通过网络视频聊天或者发送视频、照片等方式，暴露身体隐私部位或者实施淫秽行为，符合刑法第二百三十七条规定的，以强制猥亵罪或者猥亵儿童罪定罪处罚。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胁迫、诱骗未成年人通过网络直播方式实施前款行为，同时符合刑法第二百三十七条、第三百六十五条的规定，构成强制猥亵罪、猥亵儿童罪、组织淫秽表演罪的，依照处罚较重的规定定罪处罚。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b/>
          <w:sz w:val="24"/>
        </w:rPr>
        <w:t>第十条</w:t>
      </w:r>
      <w:r w:rsidRPr="0053588E">
        <w:rPr>
          <w:rFonts w:ascii="微软雅黑" w:eastAsia="微软雅黑" w:hAnsi="微软雅黑" w:cs="宋体" w:hint="eastAsia"/>
          <w:sz w:val="24"/>
        </w:rPr>
        <w:t xml:space="preserve">　实施猥亵未成年人犯罪，造成被害人轻伤以上后果，同时符合刑法第二百三十四条或者第二百三十二条的规定，构成故意伤害罪、故意杀人罪的，依照处罚较重的规定定罪处罚。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b/>
          <w:sz w:val="24"/>
        </w:rPr>
        <w:t>第十一条</w:t>
      </w:r>
      <w:r w:rsidRPr="0053588E">
        <w:rPr>
          <w:rFonts w:ascii="微软雅黑" w:eastAsia="微软雅黑" w:hAnsi="微软雅黑" w:cs="宋体" w:hint="eastAsia"/>
          <w:sz w:val="24"/>
        </w:rPr>
        <w:t xml:space="preserve">　强奸、猥亵未成年人的成年被告人认罪认罚的，是否从宽处罚及从宽幅度应当从严把握。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b/>
          <w:sz w:val="24"/>
        </w:rPr>
        <w:t>第十二条</w:t>
      </w:r>
      <w:r w:rsidRPr="0053588E">
        <w:rPr>
          <w:rFonts w:ascii="微软雅黑" w:eastAsia="微软雅黑" w:hAnsi="微软雅黑" w:cs="宋体" w:hint="eastAsia"/>
          <w:sz w:val="24"/>
        </w:rPr>
        <w:t xml:space="preserve">　对强奸未成年人的成年被告人判处刑罚时，一般不适用缓刑。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对于判处刑罚同时宣告缓刑的，可以根据犯罪情况，同时宣告禁止令，禁止犯罪分子在缓刑考验期限内从事与未成年人有关的工作、活动，禁止其进入中小学校、幼儿园及其他未成年人集中的场所。确因本人就学、居住等原因，经执行机关批准的除外。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b/>
          <w:sz w:val="24"/>
        </w:rPr>
        <w:t>第十三条</w:t>
      </w:r>
      <w:r w:rsidRPr="0053588E">
        <w:rPr>
          <w:rFonts w:ascii="微软雅黑" w:eastAsia="微软雅黑" w:hAnsi="微软雅黑" w:cs="宋体" w:hint="eastAsia"/>
          <w:sz w:val="24"/>
        </w:rPr>
        <w:t xml:space="preserve">　对于利用职业便利实施强奸、猥亵未成年人等犯罪的，人民法院应当依法适用从业禁止。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b/>
          <w:sz w:val="24"/>
        </w:rPr>
        <w:t>第十四条</w:t>
      </w:r>
      <w:r w:rsidRPr="0053588E">
        <w:rPr>
          <w:rFonts w:ascii="微软雅黑" w:eastAsia="微软雅黑" w:hAnsi="微软雅黑" w:cs="宋体" w:hint="eastAsia"/>
          <w:sz w:val="24"/>
        </w:rPr>
        <w:t xml:space="preserve">　对未成年人实施强奸、猥亵等犯罪造成人身损害的，应当赔偿医疗费、护理费、交通费、营养费、住院伙食补助费等为治疗和康复支付的合理费用，以及因误工减少的收入。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sz w:val="24"/>
        </w:rPr>
        <w:t>根据鉴定意见、医疗诊断书等证明需要对未成年人进行精神心理治疗和康复，所需的相关费用，应当认定为前款规定的合理费用。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b/>
          <w:sz w:val="24"/>
        </w:rPr>
        <w:t>第十五条</w:t>
      </w:r>
      <w:r w:rsidRPr="0053588E">
        <w:rPr>
          <w:rFonts w:ascii="微软雅黑" w:eastAsia="微软雅黑" w:hAnsi="微软雅黑" w:cs="宋体" w:hint="eastAsia"/>
          <w:sz w:val="24"/>
        </w:rPr>
        <w:t xml:space="preserve">　本解释规定的“负有特殊职责的人员”，是指对未成年人负有监护、收养、看护、教育、医疗等职责的人员，包括与未成年人具有共同生活关系且事实上负有照顾、保护等职责的人员。</w:t>
      </w:r>
    </w:p>
    <w:p w:rsidR="002525CE" w:rsidRPr="0053588E" w:rsidRDefault="009F0DE5" w:rsidP="0053588E">
      <w:pPr>
        <w:spacing w:line="340" w:lineRule="exact"/>
        <w:ind w:firstLineChars="200" w:firstLine="472"/>
        <w:rPr>
          <w:rFonts w:ascii="微软雅黑" w:eastAsia="微软雅黑" w:hAnsi="微软雅黑" w:cs="宋体"/>
          <w:sz w:val="24"/>
        </w:rPr>
      </w:pPr>
      <w:r w:rsidRPr="0053588E">
        <w:rPr>
          <w:rFonts w:ascii="微软雅黑" w:eastAsia="微软雅黑" w:hAnsi="微软雅黑" w:cs="宋体" w:hint="eastAsia"/>
          <w:b/>
          <w:sz w:val="24"/>
        </w:rPr>
        <w:t>第十六条</w:t>
      </w:r>
      <w:r w:rsidRPr="0053588E">
        <w:rPr>
          <w:rFonts w:ascii="微软雅黑" w:eastAsia="微软雅黑" w:hAnsi="微软雅黑" w:cs="宋体" w:hint="eastAsia"/>
          <w:sz w:val="24"/>
        </w:rPr>
        <w:t xml:space="preserve">　</w:t>
      </w:r>
      <w:r w:rsidRPr="0053588E">
        <w:rPr>
          <w:rFonts w:ascii="微软雅黑" w:eastAsia="微软雅黑" w:hAnsi="微软雅黑"/>
          <w:sz w:val="24"/>
        </w:rPr>
        <w:t>本</w:t>
      </w:r>
      <w:proofErr w:type="gramStart"/>
      <w:r w:rsidRPr="0053588E">
        <w:rPr>
          <w:rFonts w:ascii="微软雅黑" w:eastAsia="微软雅黑" w:hAnsi="微软雅黑"/>
          <w:sz w:val="24"/>
        </w:rPr>
        <w:t>解释自</w:t>
      </w:r>
      <w:proofErr w:type="gramEnd"/>
      <w:r w:rsidRPr="0053588E">
        <w:rPr>
          <w:rFonts w:ascii="微软雅黑" w:eastAsia="微软雅黑" w:hAnsi="微软雅黑"/>
          <w:sz w:val="24"/>
        </w:rPr>
        <w:t>2023年6月1日起施</w:t>
      </w:r>
      <w:r w:rsidRPr="0053588E">
        <w:rPr>
          <w:rFonts w:ascii="微软雅黑" w:eastAsia="微软雅黑" w:hAnsi="微软雅黑" w:cs="宋体" w:hint="eastAsia"/>
          <w:sz w:val="24"/>
        </w:rPr>
        <w:t>行。</w:t>
      </w:r>
    </w:p>
    <w:sectPr w:rsidR="002525CE" w:rsidRPr="0053588E" w:rsidSect="00780293">
      <w:footerReference w:type="even" r:id="rId6"/>
      <w:footerReference w:type="default" r:id="rId7"/>
      <w:pgSz w:w="11906" w:h="16838"/>
      <w:pgMar w:top="720" w:right="720" w:bottom="720" w:left="720" w:header="283" w:footer="283" w:gutter="0"/>
      <w:cols w:space="708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D35" w:rsidRDefault="00365D35" w:rsidP="002525CE">
      <w:r>
        <w:separator/>
      </w:r>
    </w:p>
  </w:endnote>
  <w:endnote w:type="continuationSeparator" w:id="0">
    <w:p w:rsidR="00365D35" w:rsidRDefault="00365D35" w:rsidP="0025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5CE" w:rsidRDefault="009F0DE5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　－</w:t>
    </w:r>
    <w:r w:rsidR="002525CE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2525CE">
      <w:rPr>
        <w:rFonts w:ascii="宋体" w:hAnsi="宋体"/>
        <w:sz w:val="28"/>
        <w:szCs w:val="28"/>
      </w:rPr>
      <w:fldChar w:fldCharType="separate"/>
    </w:r>
    <w:r w:rsidR="009A6579" w:rsidRPr="009A6579">
      <w:rPr>
        <w:rFonts w:ascii="宋体" w:hAnsi="宋体"/>
        <w:noProof/>
        <w:sz w:val="28"/>
        <w:szCs w:val="28"/>
        <w:lang w:val="zh-CN"/>
      </w:rPr>
      <w:t>2</w:t>
    </w:r>
    <w:r w:rsidR="002525CE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5CE" w:rsidRDefault="009F0DE5">
    <w:pPr>
      <w:pStyle w:val="a4"/>
      <w:wordWrap w:val="0"/>
      <w:jc w:val="right"/>
    </w:pPr>
    <w:r>
      <w:rPr>
        <w:rFonts w:ascii="宋体" w:hAnsi="宋体" w:hint="eastAsia"/>
        <w:sz w:val="28"/>
        <w:szCs w:val="28"/>
      </w:rPr>
      <w:t>－</w:t>
    </w:r>
    <w:r w:rsidR="002525CE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2525CE">
      <w:rPr>
        <w:rFonts w:ascii="宋体" w:hAnsi="宋体"/>
        <w:sz w:val="28"/>
        <w:szCs w:val="28"/>
      </w:rPr>
      <w:fldChar w:fldCharType="separate"/>
    </w:r>
    <w:r w:rsidR="009A6579" w:rsidRPr="009A6579">
      <w:rPr>
        <w:rFonts w:ascii="宋体" w:hAnsi="宋体"/>
        <w:noProof/>
        <w:sz w:val="28"/>
        <w:szCs w:val="28"/>
        <w:lang w:val="zh-CN"/>
      </w:rPr>
      <w:t>1</w:t>
    </w:r>
    <w:r w:rsidR="002525CE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－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D35" w:rsidRDefault="00365D35" w:rsidP="002525CE">
      <w:r>
        <w:separator/>
      </w:r>
    </w:p>
  </w:footnote>
  <w:footnote w:type="continuationSeparator" w:id="0">
    <w:p w:rsidR="00365D35" w:rsidRDefault="00365D35" w:rsidP="00252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WNiOWM4MTNkMDNkNTZjZDBlZTJkNmRiODUwMzY5ZDk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525CE"/>
    <w:rsid w:val="00265F71"/>
    <w:rsid w:val="002E3D11"/>
    <w:rsid w:val="002F77E5"/>
    <w:rsid w:val="00307CD3"/>
    <w:rsid w:val="00315BE5"/>
    <w:rsid w:val="00353AD7"/>
    <w:rsid w:val="00365D35"/>
    <w:rsid w:val="003A0332"/>
    <w:rsid w:val="003F636B"/>
    <w:rsid w:val="00420DB2"/>
    <w:rsid w:val="0044207F"/>
    <w:rsid w:val="0048283C"/>
    <w:rsid w:val="004D5710"/>
    <w:rsid w:val="004F542C"/>
    <w:rsid w:val="0053588E"/>
    <w:rsid w:val="00550A4A"/>
    <w:rsid w:val="005667BC"/>
    <w:rsid w:val="005A4A7E"/>
    <w:rsid w:val="005C49EF"/>
    <w:rsid w:val="005F0A94"/>
    <w:rsid w:val="00610663"/>
    <w:rsid w:val="00616EB4"/>
    <w:rsid w:val="00624377"/>
    <w:rsid w:val="0066351E"/>
    <w:rsid w:val="006A6786"/>
    <w:rsid w:val="006B2EDC"/>
    <w:rsid w:val="006C7885"/>
    <w:rsid w:val="006D3381"/>
    <w:rsid w:val="006E600C"/>
    <w:rsid w:val="00780293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A6579"/>
    <w:rsid w:val="009D4E62"/>
    <w:rsid w:val="009F0DE5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DE798D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9A34AE0"/>
    <w:rsid w:val="0D9804AC"/>
    <w:rsid w:val="1DF816EF"/>
    <w:rsid w:val="2B436358"/>
    <w:rsid w:val="3DE63740"/>
    <w:rsid w:val="481351D2"/>
    <w:rsid w:val="53543565"/>
    <w:rsid w:val="558A062C"/>
    <w:rsid w:val="622F12CF"/>
    <w:rsid w:val="775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5EB845"/>
  <w15:docId w15:val="{DEF7DD29-34E9-465B-B1A0-8CD11C82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5CE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2525CE"/>
    <w:rPr>
      <w:rFonts w:ascii="宋体" w:hAnsi="Courier New" w:cs="Courier New"/>
      <w:szCs w:val="21"/>
    </w:rPr>
  </w:style>
  <w:style w:type="paragraph" w:styleId="a4">
    <w:name w:val="footer"/>
    <w:basedOn w:val="a"/>
    <w:link w:val="a5"/>
    <w:uiPriority w:val="99"/>
    <w:unhideWhenUsed/>
    <w:qFormat/>
    <w:rsid w:val="002525CE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252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0"/>
      <w:sz w:val="18"/>
      <w:szCs w:val="18"/>
    </w:rPr>
  </w:style>
  <w:style w:type="character" w:styleId="a8">
    <w:name w:val="page number"/>
    <w:basedOn w:val="a0"/>
    <w:qFormat/>
    <w:rsid w:val="002525CE"/>
  </w:style>
  <w:style w:type="character" w:styleId="a9">
    <w:name w:val="FollowedHyperlink"/>
    <w:uiPriority w:val="99"/>
    <w:unhideWhenUsed/>
    <w:qFormat/>
    <w:rsid w:val="002525CE"/>
    <w:rPr>
      <w:color w:val="954F72"/>
      <w:u w:val="single"/>
    </w:rPr>
  </w:style>
  <w:style w:type="character" w:styleId="aa">
    <w:name w:val="Hyperlink"/>
    <w:uiPriority w:val="99"/>
    <w:qFormat/>
    <w:rsid w:val="002525CE"/>
    <w:rPr>
      <w:rFonts w:ascii="ˎ̥" w:hAnsi="ˎ̥" w:hint="default"/>
      <w:color w:val="0404B3"/>
      <w:sz w:val="18"/>
      <w:szCs w:val="18"/>
      <w:u w:val="none"/>
    </w:rPr>
  </w:style>
  <w:style w:type="character" w:customStyle="1" w:styleId="a5">
    <w:name w:val="页脚 字符"/>
    <w:link w:val="a4"/>
    <w:uiPriority w:val="99"/>
    <w:qFormat/>
    <w:rsid w:val="002525CE"/>
    <w:rPr>
      <w:sz w:val="18"/>
      <w:szCs w:val="18"/>
    </w:rPr>
  </w:style>
  <w:style w:type="character" w:customStyle="1" w:styleId="a7">
    <w:name w:val="页眉 字符"/>
    <w:link w:val="a6"/>
    <w:uiPriority w:val="99"/>
    <w:qFormat/>
    <w:rsid w:val="002525CE"/>
    <w:rPr>
      <w:sz w:val="18"/>
      <w:szCs w:val="18"/>
    </w:rPr>
  </w:style>
  <w:style w:type="paragraph" w:customStyle="1" w:styleId="ab">
    <w:name w:val="法 标题"/>
    <w:qFormat/>
    <w:rsid w:val="002525CE"/>
    <w:pPr>
      <w:widowControl w:val="0"/>
      <w:spacing w:line="560" w:lineRule="exact"/>
      <w:jc w:val="center"/>
    </w:pPr>
    <w:rPr>
      <w:rFonts w:ascii="仿宋_GB2312" w:hAnsi="仿宋_GB2312" w:cs="仿宋_GB2312"/>
      <w:kern w:val="2"/>
      <w:sz w:val="44"/>
      <w:szCs w:val="32"/>
    </w:rPr>
  </w:style>
  <w:style w:type="paragraph" w:customStyle="1" w:styleId="ac">
    <w:name w:val="法 法释后"/>
    <w:qFormat/>
    <w:rsid w:val="002525CE"/>
    <w:pPr>
      <w:widowControl w:val="0"/>
      <w:spacing w:line="560" w:lineRule="exact"/>
      <w:ind w:leftChars="300" w:left="300" w:rightChars="300" w:right="300"/>
      <w:jc w:val="both"/>
    </w:pPr>
    <w:rPr>
      <w:rFonts w:ascii="楷体_GB2312" w:eastAsia="楷体_GB2312" w:hAnsi="楷体" w:cs="宋体"/>
      <w:kern w:val="2"/>
      <w:sz w:val="3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352</Words>
  <Characters>2009</Characters>
  <Application>Microsoft Office Word</Application>
  <DocSecurity>0</DocSecurity>
  <Lines>16</Lines>
  <Paragraphs>4</Paragraphs>
  <ScaleCrop>false</ScaleCrop>
  <Company>Newdaxie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Zhanglb</cp:lastModifiedBy>
  <cp:revision>17</cp:revision>
  <dcterms:created xsi:type="dcterms:W3CDTF">2017-11-15T02:33:00Z</dcterms:created>
  <dcterms:modified xsi:type="dcterms:W3CDTF">2025-08-25T08:49:00Z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2052-11.1.0.14309</vt:lpwstr>
  </property>
</Properties>
</file>